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32" w:rsidRDefault="00437832" w:rsidP="00437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437832" w:rsidRDefault="00437832" w:rsidP="00437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Указами Президента Российской Федерации, на территории Краснодарского края</w:t>
      </w:r>
    </w:p>
    <w:p w:rsidR="00437832" w:rsidRDefault="00437832" w:rsidP="00437832">
      <w:pPr>
        <w:jc w:val="center"/>
        <w:rPr>
          <w:b/>
        </w:rPr>
      </w:pPr>
      <w:r>
        <w:rPr>
          <w:b/>
          <w:sz w:val="28"/>
          <w:szCs w:val="28"/>
        </w:rPr>
        <w:t xml:space="preserve">(по состоянию </w:t>
      </w:r>
      <w:r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квартал</w:t>
      </w:r>
      <w:bookmarkStart w:id="0" w:name="_GoBack"/>
      <w:bookmarkEnd w:id="0"/>
      <w:r>
        <w:rPr>
          <w:b/>
          <w:sz w:val="28"/>
          <w:szCs w:val="28"/>
        </w:rPr>
        <w:t xml:space="preserve"> 2016 года)</w:t>
      </w:r>
    </w:p>
    <w:p w:rsidR="00933617" w:rsidRPr="001147C3" w:rsidRDefault="00933617" w:rsidP="00D962BE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08"/>
        <w:gridCol w:w="1276"/>
        <w:gridCol w:w="9639"/>
      </w:tblGrid>
      <w:tr w:rsidR="001147C3" w:rsidRPr="001147C3" w:rsidTr="00685950">
        <w:trPr>
          <w:trHeight w:val="495"/>
          <w:tblHeader/>
        </w:trPr>
        <w:tc>
          <w:tcPr>
            <w:tcW w:w="578" w:type="dxa"/>
            <w:vAlign w:val="center"/>
          </w:tcPr>
          <w:p w:rsidR="00CC6749" w:rsidRPr="001147C3" w:rsidRDefault="00CC6749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№ п/п</w:t>
            </w:r>
          </w:p>
        </w:tc>
        <w:tc>
          <w:tcPr>
            <w:tcW w:w="3108" w:type="dxa"/>
            <w:vAlign w:val="center"/>
          </w:tcPr>
          <w:p w:rsidR="00CC6749" w:rsidRPr="001147C3" w:rsidRDefault="00CC6749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CC6749" w:rsidRPr="001147C3" w:rsidRDefault="00CC6749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Срок </w:t>
            </w:r>
            <w:r w:rsidR="00D52524" w:rsidRPr="001147C3">
              <w:rPr>
                <w:sz w:val="24"/>
                <w:szCs w:val="24"/>
              </w:rPr>
              <w:t>и</w:t>
            </w:r>
            <w:r w:rsidR="00D52524" w:rsidRPr="001147C3">
              <w:rPr>
                <w:sz w:val="24"/>
                <w:szCs w:val="24"/>
              </w:rPr>
              <w:t>с</w:t>
            </w:r>
            <w:r w:rsidR="00D52524" w:rsidRPr="001147C3">
              <w:rPr>
                <w:sz w:val="24"/>
                <w:szCs w:val="24"/>
              </w:rPr>
              <w:t>полнения</w:t>
            </w:r>
          </w:p>
        </w:tc>
        <w:tc>
          <w:tcPr>
            <w:tcW w:w="9639" w:type="dxa"/>
            <w:vAlign w:val="center"/>
          </w:tcPr>
          <w:p w:rsidR="00CC6749" w:rsidRPr="001147C3" w:rsidRDefault="00CC6749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Результат исполнения</w:t>
            </w:r>
          </w:p>
        </w:tc>
      </w:tr>
      <w:tr w:rsidR="001147C3" w:rsidRPr="001147C3" w:rsidTr="00685950">
        <w:trPr>
          <w:trHeight w:val="304"/>
        </w:trPr>
        <w:tc>
          <w:tcPr>
            <w:tcW w:w="578" w:type="dxa"/>
            <w:vAlign w:val="center"/>
          </w:tcPr>
          <w:p w:rsidR="00933617" w:rsidRPr="001147C3" w:rsidRDefault="00933617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933617" w:rsidRPr="001147C3" w:rsidRDefault="00933617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1147C3" w:rsidRDefault="00933617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vAlign w:val="center"/>
          </w:tcPr>
          <w:p w:rsidR="00933617" w:rsidRPr="001147C3" w:rsidRDefault="00933617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4</w:t>
            </w:r>
          </w:p>
        </w:tc>
      </w:tr>
      <w:tr w:rsidR="001147C3" w:rsidRPr="001147C3" w:rsidTr="00351F17">
        <w:trPr>
          <w:trHeight w:val="321"/>
        </w:trPr>
        <w:tc>
          <w:tcPr>
            <w:tcW w:w="14601" w:type="dxa"/>
            <w:gridSpan w:val="4"/>
            <w:vAlign w:val="center"/>
          </w:tcPr>
          <w:p w:rsidR="002E05AD" w:rsidRPr="001147C3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1147C3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1147C3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1147C3">
              <w:rPr>
                <w:b/>
                <w:sz w:val="23"/>
                <w:szCs w:val="23"/>
              </w:rPr>
              <w:t>политики»</w:t>
            </w:r>
          </w:p>
        </w:tc>
      </w:tr>
      <w:tr w:rsidR="001147C3" w:rsidRPr="001147C3" w:rsidTr="00685950">
        <w:trPr>
          <w:trHeight w:val="3050"/>
        </w:trPr>
        <w:tc>
          <w:tcPr>
            <w:tcW w:w="578" w:type="dxa"/>
          </w:tcPr>
          <w:p w:rsidR="00B0399A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E517A8" w:rsidRPr="001147C3" w:rsidRDefault="003B0E88" w:rsidP="00D962BE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ния образовательных учр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ждений начального и сре</w:t>
            </w:r>
            <w:r w:rsidRPr="001147C3">
              <w:rPr>
                <w:sz w:val="24"/>
                <w:szCs w:val="24"/>
              </w:rPr>
              <w:t>д</w:t>
            </w:r>
            <w:r w:rsidRPr="001147C3">
              <w:rPr>
                <w:sz w:val="24"/>
                <w:szCs w:val="24"/>
              </w:rPr>
              <w:t>него профессионального образования,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276" w:type="dxa"/>
          </w:tcPr>
          <w:p w:rsidR="00B0399A" w:rsidRPr="001147C3" w:rsidRDefault="003B0E88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смотрены средства для достижения среднего размера заработной платы преподавателей и мастеров производственного обучения в 2016 году 23 545,0 рублей.</w:t>
            </w:r>
          </w:p>
          <w:p w:rsidR="00B0399A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изводственного обучения в 1 квартале 2016 года составляет 23 621,0 рубль.</w:t>
            </w:r>
          </w:p>
        </w:tc>
      </w:tr>
      <w:tr w:rsidR="001147C3" w:rsidRPr="001147C3" w:rsidTr="00685950">
        <w:trPr>
          <w:trHeight w:val="698"/>
        </w:trPr>
        <w:tc>
          <w:tcPr>
            <w:tcW w:w="578" w:type="dxa"/>
          </w:tcPr>
          <w:p w:rsidR="003B0E88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3B0E88" w:rsidRPr="001147C3" w:rsidRDefault="003B0E88" w:rsidP="00D962BE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повыш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ние средней заработной платы врачей до 200 пр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центов от средней зарабо</w:t>
            </w:r>
            <w:r w:rsidRPr="001147C3">
              <w:rPr>
                <w:sz w:val="24"/>
                <w:szCs w:val="24"/>
              </w:rPr>
              <w:t>т</w:t>
            </w:r>
            <w:r w:rsidRPr="001147C3">
              <w:rPr>
                <w:sz w:val="24"/>
                <w:szCs w:val="24"/>
              </w:rPr>
              <w:t>ной платы в Краснодарском крае</w:t>
            </w:r>
          </w:p>
        </w:tc>
        <w:tc>
          <w:tcPr>
            <w:tcW w:w="1276" w:type="dxa"/>
          </w:tcPr>
          <w:p w:rsidR="003B0E88" w:rsidRPr="001147C3" w:rsidRDefault="003B0E88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смотрены средства для достижения среднего размера заработной платы врачей, включая врачей-руководителей структурных подразделений, в 2016 году 25 493,0 рублей.</w:t>
            </w:r>
          </w:p>
          <w:p w:rsidR="00E517A8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в 1 квартале 2016 года с учетом направления на эти цели средств от предпринимательской и иной приносящей доход деятельности и средств, полученных за счет реорганизации неэффективных организаций, составляет 29 734,0 рубля.</w:t>
            </w:r>
          </w:p>
        </w:tc>
      </w:tr>
      <w:tr w:rsidR="001147C3" w:rsidRPr="001147C3" w:rsidTr="00685950">
        <w:tc>
          <w:tcPr>
            <w:tcW w:w="578" w:type="dxa"/>
          </w:tcPr>
          <w:p w:rsidR="00E257E8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E517A8" w:rsidRPr="001147C3" w:rsidRDefault="00E257E8" w:rsidP="00D962BE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повыш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 xml:space="preserve">ние средней заработной </w:t>
            </w:r>
            <w:r w:rsidRPr="001147C3">
              <w:rPr>
                <w:sz w:val="24"/>
                <w:szCs w:val="24"/>
              </w:rPr>
              <w:lastRenderedPageBreak/>
              <w:t>платы социальных рабо</w:t>
            </w:r>
            <w:r w:rsidRPr="001147C3">
              <w:rPr>
                <w:sz w:val="24"/>
                <w:szCs w:val="24"/>
              </w:rPr>
              <w:t>т</w:t>
            </w:r>
            <w:r w:rsidRPr="001147C3">
              <w:rPr>
                <w:sz w:val="24"/>
                <w:szCs w:val="24"/>
              </w:rPr>
              <w:t>ников, включая социальных работников медицинских организаций, младшего м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дицинского персонала (персонала, обеспечива</w:t>
            </w:r>
            <w:r w:rsidRPr="001147C3">
              <w:rPr>
                <w:sz w:val="24"/>
                <w:szCs w:val="24"/>
              </w:rPr>
              <w:t>ю</w:t>
            </w:r>
            <w:r w:rsidRPr="001147C3">
              <w:rPr>
                <w:sz w:val="24"/>
                <w:szCs w:val="24"/>
              </w:rPr>
              <w:t>щего условия для пред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ставления медицинских услуг), среднего медици</w:t>
            </w:r>
            <w:r w:rsidRPr="001147C3">
              <w:rPr>
                <w:sz w:val="24"/>
                <w:szCs w:val="24"/>
              </w:rPr>
              <w:t>н</w:t>
            </w:r>
            <w:r w:rsidRPr="001147C3">
              <w:rPr>
                <w:sz w:val="24"/>
                <w:szCs w:val="24"/>
              </w:rPr>
              <w:t>ского (фармацевтического)  персонала (персонала, обеспечивающего условия для предоставления мед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цинских услуг) – до 100 процентов от средней зар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ботной платы в Краснода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ском крае</w:t>
            </w:r>
          </w:p>
        </w:tc>
        <w:tc>
          <w:tcPr>
            <w:tcW w:w="1276" w:type="dxa"/>
          </w:tcPr>
          <w:p w:rsidR="00E257E8" w:rsidRPr="001147C3" w:rsidRDefault="00E257E8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9639" w:type="dxa"/>
          </w:tcPr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lastRenderedPageBreak/>
              <w:t xml:space="preserve">смотрены средства для достижения среднего размера заработной платы в 2016 году: 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социальных работников, включая социальных работников медицинских организаций – 18 974,5 рубля;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среднего медицинского персонала – 19 630,0 рублей;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младшего медицинского персонала – 16 095,0 рублей.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Прогнозное значение среднего размера заработной платы с учетом направления на эти ц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ли средств от предпринимательской и иной приносящей доход деятельности и средств, п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лученных за счет реорганизации неэффективных организаций, в 1 квартале 2016 года с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ставляет: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социальных работников, включая социальных работников медицинских организаций – 18 974,5 рубля,</w:t>
            </w:r>
          </w:p>
          <w:p w:rsidR="001147C3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среднего медицинского персонала – 20 152,0 рубля,</w:t>
            </w:r>
          </w:p>
          <w:p w:rsidR="00806480" w:rsidRPr="001147C3" w:rsidRDefault="001147C3" w:rsidP="001147C3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младшего медицинского персонала – 15 855,0 рублей.</w:t>
            </w:r>
          </w:p>
        </w:tc>
      </w:tr>
      <w:tr w:rsidR="001147C3" w:rsidRPr="001147C3" w:rsidTr="00351F17">
        <w:trPr>
          <w:trHeight w:val="396"/>
        </w:trPr>
        <w:tc>
          <w:tcPr>
            <w:tcW w:w="14601" w:type="dxa"/>
            <w:gridSpan w:val="4"/>
            <w:vAlign w:val="center"/>
          </w:tcPr>
          <w:p w:rsidR="00E517A8" w:rsidRPr="001147C3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1147C3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</w:t>
            </w:r>
            <w:r w:rsidRPr="001147C3">
              <w:rPr>
                <w:b/>
                <w:sz w:val="24"/>
                <w:szCs w:val="24"/>
              </w:rPr>
              <w:t>а</w:t>
            </w:r>
            <w:r w:rsidRPr="001147C3">
              <w:rPr>
                <w:b/>
                <w:sz w:val="24"/>
                <w:szCs w:val="24"/>
              </w:rPr>
              <w:t>воохранения»</w:t>
            </w:r>
          </w:p>
        </w:tc>
      </w:tr>
      <w:tr w:rsidR="001147C3" w:rsidRPr="001147C3" w:rsidTr="00685950">
        <w:trPr>
          <w:trHeight w:val="416"/>
        </w:trPr>
        <w:tc>
          <w:tcPr>
            <w:tcW w:w="578" w:type="dxa"/>
          </w:tcPr>
          <w:p w:rsidR="00E257E8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E257E8" w:rsidRPr="001147C3" w:rsidRDefault="00E257E8" w:rsidP="009D7F8B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вание здорового образа жизни населения Красн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дарского края, включая п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пуляризацию культуры здорового питания, спо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тивно-оздоровительных программ, профилактику алкоголизма и наркомании, противодействие потребл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нию табака</w:t>
            </w:r>
          </w:p>
        </w:tc>
        <w:tc>
          <w:tcPr>
            <w:tcW w:w="1276" w:type="dxa"/>
          </w:tcPr>
          <w:p w:rsidR="00E257E8" w:rsidRPr="001147C3" w:rsidRDefault="00E257E8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На пост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янной о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>нове</w:t>
            </w:r>
          </w:p>
        </w:tc>
        <w:tc>
          <w:tcPr>
            <w:tcW w:w="9639" w:type="dxa"/>
          </w:tcPr>
          <w:p w:rsidR="006F3933" w:rsidRPr="001147C3" w:rsidRDefault="006F3933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Специалистами управлений социальной защиты населения министерства социального ра</w:t>
            </w:r>
            <w:r w:rsidRPr="001147C3">
              <w:rPr>
                <w:sz w:val="24"/>
                <w:szCs w:val="24"/>
              </w:rPr>
              <w:t>з</w:t>
            </w:r>
            <w:r w:rsidRPr="001147C3">
              <w:rPr>
                <w:sz w:val="24"/>
                <w:szCs w:val="24"/>
              </w:rPr>
              <w:t>вития и семейной политики Краснодарского края в муниципальных образованиях, учр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 xml:space="preserve">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685950" w:rsidRPr="001147C3" w:rsidRDefault="00685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дарственных бюджетных учреждений социального обслуживания населения Краснода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ского края проводятся мероприятия, направленные на формирование здорового образа жизни с несовершеннолетними и их  родителями.</w:t>
            </w:r>
          </w:p>
          <w:p w:rsidR="00EC1984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1 квартале 2016 года организована работа с 1166 семьями, в которых родители употре</w:t>
            </w:r>
            <w:r w:rsidRPr="001147C3">
              <w:rPr>
                <w:sz w:val="24"/>
                <w:szCs w:val="24"/>
              </w:rPr>
              <w:t>б</w:t>
            </w:r>
            <w:r w:rsidRPr="001147C3">
              <w:rPr>
                <w:sz w:val="24"/>
                <w:szCs w:val="24"/>
              </w:rPr>
              <w:t xml:space="preserve">ляют алкоголь и 14 семьями, в которых родители употребляют наркотики. </w:t>
            </w:r>
          </w:p>
          <w:p w:rsidR="00EC1984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Приняли предложение работников ОПСН и прошли лечение у наркологов 173 родителя. </w:t>
            </w:r>
          </w:p>
          <w:p w:rsidR="00EC1984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Оказано содействие в трудоустройстве 67 родителям, ранее употреблявшим алкоголь. </w:t>
            </w:r>
          </w:p>
          <w:p w:rsidR="00EC1984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 связи с улучшением ситуации снято с учета 112 семей, в которых ранее родители уп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lastRenderedPageBreak/>
              <w:t xml:space="preserve">требляли алкоголь, 1  семья, в которой родители употребляли наркотики. </w:t>
            </w:r>
          </w:p>
          <w:p w:rsidR="00EC1984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  целью организации занятости и досуга несовершеннолетних и их родителей в учрежд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ниях действует 336 кружков и клубов различной направленности, в том числе 1 спорти</w:t>
            </w:r>
            <w:r w:rsidRPr="001147C3">
              <w:rPr>
                <w:sz w:val="24"/>
                <w:szCs w:val="24"/>
              </w:rPr>
              <w:t>в</w:t>
            </w:r>
            <w:r w:rsidRPr="001147C3">
              <w:rPr>
                <w:sz w:val="24"/>
                <w:szCs w:val="24"/>
              </w:rPr>
              <w:t xml:space="preserve">ный и 4 туристических. </w:t>
            </w:r>
          </w:p>
          <w:p w:rsidR="00565378" w:rsidRPr="001147C3" w:rsidRDefault="00EC198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Управлениями и учреждениями социальной защиты населения разработано  168  памяток и буклетов, направленных на формирование здорового образа жизни,  проведено 228  соц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ально значимых мероприятий,  в которых приняло участие  774 семьи и 6658 несоверше</w:t>
            </w:r>
            <w:r w:rsidRPr="001147C3">
              <w:rPr>
                <w:sz w:val="24"/>
                <w:szCs w:val="24"/>
              </w:rPr>
              <w:t>н</w:t>
            </w:r>
            <w:r w:rsidRPr="001147C3">
              <w:rPr>
                <w:sz w:val="24"/>
                <w:szCs w:val="24"/>
              </w:rPr>
              <w:t>нолетних. Специалистами ОПСН проведено 565  бесед, направленных на профилактику вредных привычек и формирование здорового образа жизни.</w:t>
            </w:r>
          </w:p>
          <w:p w:rsidR="00C628B1" w:rsidRPr="001147C3" w:rsidRDefault="00AC6950" w:rsidP="00C628B1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Специалистами </w:t>
            </w:r>
            <w:r w:rsidR="0017342C" w:rsidRPr="001147C3">
              <w:rPr>
                <w:sz w:val="24"/>
                <w:szCs w:val="24"/>
              </w:rPr>
              <w:t>комплексных центров социального обслуживания населения Краснода</w:t>
            </w:r>
            <w:r w:rsidR="0017342C" w:rsidRPr="001147C3">
              <w:rPr>
                <w:sz w:val="24"/>
                <w:szCs w:val="24"/>
              </w:rPr>
              <w:t>р</w:t>
            </w:r>
            <w:r w:rsidR="0017342C" w:rsidRPr="001147C3">
              <w:rPr>
                <w:sz w:val="24"/>
                <w:szCs w:val="24"/>
              </w:rPr>
              <w:t>ского края (далее – КЦСОН) о</w:t>
            </w:r>
            <w:r w:rsidRPr="001147C3">
              <w:rPr>
                <w:sz w:val="24"/>
                <w:szCs w:val="24"/>
              </w:rPr>
              <w:t>рганизуются мероприятия по формированию здорового о</w:t>
            </w:r>
            <w:r w:rsidRPr="001147C3">
              <w:rPr>
                <w:sz w:val="24"/>
                <w:szCs w:val="24"/>
              </w:rPr>
              <w:t>б</w:t>
            </w:r>
            <w:r w:rsidRPr="001147C3">
              <w:rPr>
                <w:sz w:val="24"/>
                <w:szCs w:val="24"/>
              </w:rPr>
              <w:t>раза жизни, в том числе спортивные, для пожилых граждан, состоящих на социальном о</w:t>
            </w:r>
            <w:r w:rsidRPr="001147C3">
              <w:rPr>
                <w:sz w:val="24"/>
                <w:szCs w:val="24"/>
              </w:rPr>
              <w:t>б</w:t>
            </w:r>
            <w:r w:rsidRPr="001147C3">
              <w:rPr>
                <w:sz w:val="24"/>
                <w:szCs w:val="24"/>
              </w:rPr>
              <w:t xml:space="preserve">служивании. </w:t>
            </w:r>
            <w:r w:rsidR="00C628B1" w:rsidRPr="001147C3">
              <w:rPr>
                <w:sz w:val="24"/>
                <w:szCs w:val="24"/>
              </w:rPr>
              <w:t>В 1 квартале 2016 года в спортивных соревнованиях приняли участие 69 ч</w:t>
            </w:r>
            <w:r w:rsidR="00C628B1" w:rsidRPr="001147C3">
              <w:rPr>
                <w:sz w:val="24"/>
                <w:szCs w:val="24"/>
              </w:rPr>
              <w:t>е</w:t>
            </w:r>
            <w:r w:rsidR="00C628B1" w:rsidRPr="001147C3">
              <w:rPr>
                <w:sz w:val="24"/>
                <w:szCs w:val="24"/>
              </w:rPr>
              <w:t xml:space="preserve">ловек. </w:t>
            </w:r>
          </w:p>
          <w:p w:rsidR="00C628B1" w:rsidRPr="001147C3" w:rsidRDefault="00C628B1" w:rsidP="00C628B1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КЦСОН действует 11 спортивных клубов для пожилых людей. В учреждении Тихоре</w:t>
            </w:r>
            <w:r w:rsidRPr="001147C3">
              <w:rPr>
                <w:sz w:val="24"/>
                <w:szCs w:val="24"/>
              </w:rPr>
              <w:t>ц</w:t>
            </w:r>
            <w:r w:rsidRPr="001147C3">
              <w:rPr>
                <w:sz w:val="24"/>
                <w:szCs w:val="24"/>
              </w:rPr>
              <w:t>кого района работает клуб «ЗОЖ», реализующий программу «Тропа здоровья». Основной задачей программы является приобретение навыков здорового образа жизни для сохран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ния активного долголетия. В рамках клубной деятельности пожилые граждане занимаются упражнениями на развитие памяти и логики, гибкости суставов, встречаются со специал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стами учреждений здравоохранения, которые проводят беседы о режиме труда и отдыха, вредных привычках, профилактике заболеваний, здоровом питании. Работа в клубе ведется по трем направлениям: физкультура и труд рядом идут; чем длиннее тропа, тем длиннее жизнь; триада здоровья (гигиена, закаливание, рациональное питание). В 1 квартале 2016 года проведено 11 занятий, которые посетили 16 человек, из них 11 инвалидов. Активисты клуба участвуют в беседах, выполняют физические упражнения, обсуждают народные 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цепты медицины. Клуб «ЗОЖ» дает возможность гражданам вести активный образ жизни, направленный на укрепление здоровья.</w:t>
            </w:r>
          </w:p>
          <w:p w:rsidR="00C628B1" w:rsidRPr="001147C3" w:rsidRDefault="00C628B1" w:rsidP="00C628B1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орхидея» для граждан пожилого возраста и инвалидов, желающих заниматься физической культурой и спортом. Члены клуба участвуют в соревнованиях, конкурсах, походах. Д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 xml:space="preserve">полнительно при клубе открыты секции «Утренней пробежки» и «Спортивной ходьбы». В первом квартале 2016 года была организована ко Дню Защитника Отечества спортивная </w:t>
            </w:r>
            <w:r w:rsidRPr="001147C3">
              <w:rPr>
                <w:sz w:val="24"/>
                <w:szCs w:val="24"/>
              </w:rPr>
              <w:lastRenderedPageBreak/>
              <w:t>эстафета «Никто не забыт, ничто не забыто», ко Дню 8 марта – спортивная эстафета «Кр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сота спасет мир», в которых приняли участие бывшие работники (пенсионеры) учрежд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 xml:space="preserve">ний социальной защиты и коллектив клуба. В спортивных встречах клуба приняли участие 25 человек. </w:t>
            </w:r>
          </w:p>
          <w:p w:rsidR="001B7693" w:rsidRPr="001147C3" w:rsidRDefault="00C628B1" w:rsidP="00C628B1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учреждении города-героя Новороссийска работает спортивный клуб «Золотая ладья», который объединяет 28 любителей настольных игр из числа пожилых людей и инвалидов, увлекающихся игрой в шахматы и шашки. В первом квартале 2016 года в клубе проведено 6 заседаний. В спортивных мероприятиях приняло участие 12 человек.</w:t>
            </w:r>
            <w:r w:rsidR="001B7693" w:rsidRPr="001147C3">
              <w:rPr>
                <w:sz w:val="24"/>
                <w:szCs w:val="24"/>
              </w:rPr>
              <w:t xml:space="preserve"> </w:t>
            </w:r>
          </w:p>
          <w:p w:rsidR="001B7693" w:rsidRPr="001147C3" w:rsidRDefault="001B7693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</w:t>
            </w:r>
          </w:p>
          <w:p w:rsidR="00EA0094" w:rsidRPr="001147C3" w:rsidRDefault="00EA0094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ского, духовно-нравственного воспитания, досуговой деятельности воспитанники инте</w:t>
            </w:r>
            <w:r w:rsidRPr="001147C3">
              <w:rPr>
                <w:sz w:val="24"/>
                <w:szCs w:val="24"/>
              </w:rPr>
              <w:t>р</w:t>
            </w:r>
            <w:r w:rsidRPr="001147C3">
              <w:rPr>
                <w:sz w:val="24"/>
                <w:szCs w:val="24"/>
              </w:rPr>
              <w:t>натных учреждений и специализированных учреждений для несовершеннолетних, нужд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ющихся в социальной реабилитации (СРЦН), принимали участие в краевых социально значимых мероприятиях.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настоящее время в крае функционирует 23 специализированных учреждения для нес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вершеннолетних, нуждающихся в социальной реабилитации, и 6 учреждений для детей-сирот и детей, оставшихся без попечения родителей. Ежегодно курс реабилитации прох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дят более 4 тысяч несовершеннолетних из семей, оказавшихся в трудной жизненной сит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ации, или в социально опасном положении.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В рамках основной деятельности учреждений проводятся </w:t>
            </w:r>
            <w:r w:rsidR="004610E9" w:rsidRPr="001147C3">
              <w:rPr>
                <w:sz w:val="24"/>
                <w:szCs w:val="24"/>
              </w:rPr>
              <w:t xml:space="preserve">плановые </w:t>
            </w:r>
            <w:r w:rsidRPr="001147C3">
              <w:rPr>
                <w:sz w:val="24"/>
                <w:szCs w:val="24"/>
              </w:rPr>
              <w:t>мероприятия, напра</w:t>
            </w:r>
            <w:r w:rsidRPr="001147C3">
              <w:rPr>
                <w:sz w:val="24"/>
                <w:szCs w:val="24"/>
              </w:rPr>
              <w:t>в</w:t>
            </w:r>
            <w:r w:rsidRPr="001147C3">
              <w:rPr>
                <w:sz w:val="24"/>
                <w:szCs w:val="24"/>
              </w:rPr>
              <w:t>ленные на пропаганду здорового образа жизни, профилактику вредных привычек. Целью мероприятий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1 квартале 2016 года в учреждениях организовано и проведено около 730 мероприятий различной направленности  с охватом более 1600 воспитанников.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pacing w:val="-6"/>
                <w:sz w:val="24"/>
                <w:szCs w:val="24"/>
              </w:rPr>
              <w:t>Медицинскими работниками, педагогами, психологами детских домов и школ-интернатов, сп</w:t>
            </w:r>
            <w:r w:rsidRPr="001147C3">
              <w:rPr>
                <w:spacing w:val="-6"/>
                <w:sz w:val="24"/>
                <w:szCs w:val="24"/>
              </w:rPr>
              <w:t>е</w:t>
            </w:r>
            <w:r w:rsidRPr="001147C3">
              <w:rPr>
                <w:spacing w:val="-6"/>
                <w:sz w:val="24"/>
                <w:szCs w:val="24"/>
              </w:rPr>
              <w:t>циализированных учреждений для несовершеннолетних, нуждающихся в социальной реабил</w:t>
            </w:r>
            <w:r w:rsidRPr="001147C3">
              <w:rPr>
                <w:spacing w:val="-6"/>
                <w:sz w:val="24"/>
                <w:szCs w:val="24"/>
              </w:rPr>
              <w:t>и</w:t>
            </w:r>
            <w:r w:rsidRPr="001147C3">
              <w:rPr>
                <w:spacing w:val="-6"/>
                <w:sz w:val="24"/>
                <w:szCs w:val="24"/>
              </w:rPr>
              <w:t xml:space="preserve">тации,  </w:t>
            </w:r>
            <w:r w:rsidRPr="001147C3">
              <w:rPr>
                <w:sz w:val="24"/>
                <w:szCs w:val="24"/>
              </w:rPr>
              <w:t>с целью  популяризации здорового образа жизни и профилактики вредных прив</w:t>
            </w:r>
            <w:r w:rsidRPr="001147C3">
              <w:rPr>
                <w:sz w:val="24"/>
                <w:szCs w:val="24"/>
              </w:rPr>
              <w:t>ы</w:t>
            </w:r>
            <w:r w:rsidRPr="001147C3">
              <w:rPr>
                <w:sz w:val="24"/>
                <w:szCs w:val="24"/>
              </w:rPr>
              <w:t>чек подготовлено более 200 брошюр и буклетов для детей и сотрудников, оформлено 49 информационных материал</w:t>
            </w:r>
            <w:r w:rsidR="004610E9" w:rsidRPr="001147C3">
              <w:rPr>
                <w:sz w:val="24"/>
                <w:szCs w:val="24"/>
              </w:rPr>
              <w:t>ов</w:t>
            </w:r>
            <w:r w:rsidRPr="001147C3">
              <w:rPr>
                <w:sz w:val="24"/>
                <w:szCs w:val="24"/>
              </w:rPr>
              <w:t xml:space="preserve"> для тематических стендов, проведено более 450 бесед, 29 круглых столов, 27 диспутов. При проведении мероприятий учитывались возрастные и </w:t>
            </w:r>
            <w:r w:rsidRPr="001147C3">
              <w:rPr>
                <w:sz w:val="24"/>
                <w:szCs w:val="24"/>
              </w:rPr>
              <w:lastRenderedPageBreak/>
              <w:t xml:space="preserve">психологические особенности детей. 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врачами-наркологами государственных и муниципальных учреждений здравоохранения проведены 24 беседы с воспитанниками и сотрудниками учреждений.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ского, духовно-нравственного воспитания, досуговой деятельности воспитанники учр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ждений для детей-сирот и детей, оставшихся без попечения родителей, принимали участие в краевых социально значимых мероприятиях: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феврале воспитанники ГБУ СО КК «Краснодарский детский дом с дополнительным о</w:t>
            </w:r>
            <w:r w:rsidRPr="001147C3">
              <w:rPr>
                <w:sz w:val="24"/>
                <w:szCs w:val="24"/>
              </w:rPr>
              <w:t>б</w:t>
            </w:r>
            <w:r w:rsidRPr="001147C3">
              <w:rPr>
                <w:sz w:val="24"/>
                <w:szCs w:val="24"/>
              </w:rPr>
              <w:t>разованием «Рождественский» совместно с Региональным Управлением ФСКН России по Краснодарскому краю участвовали в  командных соревнованиях по стрельбе, среди клубов допризывной подготовки молодежи г. Краснодара, посвященные годовщине образования ФСКН России, Дню защитника Отечества и Дню вывода войск из Афганистана. По итогам соревнований воспитанникам был вручен диплом Регионального Управления ФСКН Ро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 xml:space="preserve">сии по Краснодарскому краю и ценные подарки; в спортивных соревнованиях совместно с курсантами Краснодарского высшего авиационного училища летчиков;  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марте 6 воспитанников ГКУ СО КК «Ахтырский детский дом с дополнительным образ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 xml:space="preserve">ванием» в составе команды МБОУ СОШ №30 пгт Ахтырского   заняли 1 место в Краевых зональных соревнованиях по гандболу </w:t>
            </w:r>
            <w:r w:rsidRPr="001147C3">
              <w:rPr>
                <w:sz w:val="24"/>
                <w:szCs w:val="24"/>
                <w:lang w:val="en-US"/>
              </w:rPr>
              <w:t>IX</w:t>
            </w:r>
            <w:r w:rsidRPr="001147C3">
              <w:rPr>
                <w:sz w:val="24"/>
                <w:szCs w:val="24"/>
              </w:rPr>
              <w:t xml:space="preserve"> Всекубанской спартакиады «Спортивные Надежды Кубани», которые проходили в    г. Крымске;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рамках профориентационной работы воспитанники ГКУ СО КК «Ахтырский детский дом с дополнительным образованием» побывали на Дне открытых дверей в Кубанском государственном университете физической культуры, спорта и туризма» г. Краснодара;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воспитанники ГКУ СО КК «Медведовский детский дом с дополнительным образованием» участвовали в проведении Акции «Дари Добро» (</w:t>
            </w:r>
            <w:r w:rsidR="004610E9" w:rsidRPr="001147C3">
              <w:rPr>
                <w:sz w:val="24"/>
                <w:szCs w:val="24"/>
              </w:rPr>
              <w:t xml:space="preserve">изготовление </w:t>
            </w:r>
            <w:r w:rsidRPr="001147C3">
              <w:rPr>
                <w:sz w:val="24"/>
                <w:szCs w:val="24"/>
              </w:rPr>
              <w:t>подарк</w:t>
            </w:r>
            <w:r w:rsidR="004610E9" w:rsidRPr="001147C3">
              <w:rPr>
                <w:sz w:val="24"/>
                <w:szCs w:val="24"/>
              </w:rPr>
              <w:t>ов</w:t>
            </w:r>
            <w:r w:rsidRPr="001147C3">
              <w:rPr>
                <w:sz w:val="24"/>
                <w:szCs w:val="24"/>
              </w:rPr>
              <w:t xml:space="preserve"> к праздникам 23 февраля и 8 марта</w:t>
            </w:r>
            <w:r w:rsidR="004610E9" w:rsidRPr="001147C3">
              <w:rPr>
                <w:sz w:val="24"/>
                <w:szCs w:val="24"/>
              </w:rPr>
              <w:t>,</w:t>
            </w:r>
            <w:r w:rsidRPr="001147C3">
              <w:rPr>
                <w:sz w:val="24"/>
                <w:szCs w:val="24"/>
              </w:rPr>
              <w:t xml:space="preserve"> подарки ветеранам; православны</w:t>
            </w:r>
            <w:r w:rsidR="004610E9"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 xml:space="preserve"> чтения, которые проходили в де</w:t>
            </w:r>
            <w:r w:rsidRPr="001147C3">
              <w:rPr>
                <w:sz w:val="24"/>
                <w:szCs w:val="24"/>
              </w:rPr>
              <w:t>т</w:t>
            </w:r>
            <w:r w:rsidR="004610E9" w:rsidRPr="001147C3">
              <w:rPr>
                <w:sz w:val="24"/>
                <w:szCs w:val="24"/>
              </w:rPr>
              <w:t>ском доме)</w:t>
            </w:r>
            <w:r w:rsidRPr="001147C3">
              <w:rPr>
                <w:sz w:val="24"/>
                <w:szCs w:val="24"/>
              </w:rPr>
              <w:t>.</w:t>
            </w:r>
          </w:p>
          <w:p w:rsidR="00431950" w:rsidRPr="001147C3" w:rsidRDefault="004610E9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</w:t>
            </w:r>
            <w:r w:rsidR="00431950" w:rsidRPr="001147C3">
              <w:rPr>
                <w:sz w:val="24"/>
                <w:szCs w:val="24"/>
              </w:rPr>
              <w:t>оспитанники из детских домов и школ-интернатов побывали на открытии Недели де</w:t>
            </w:r>
            <w:r w:rsidR="00431950" w:rsidRPr="001147C3">
              <w:rPr>
                <w:sz w:val="24"/>
                <w:szCs w:val="24"/>
              </w:rPr>
              <w:t>т</w:t>
            </w:r>
            <w:r w:rsidR="00431950" w:rsidRPr="001147C3">
              <w:rPr>
                <w:sz w:val="24"/>
                <w:szCs w:val="24"/>
              </w:rPr>
              <w:t>ской книги в библиотеке братьев Игнатовых</w:t>
            </w:r>
            <w:r w:rsidRPr="001147C3">
              <w:rPr>
                <w:sz w:val="24"/>
                <w:szCs w:val="24"/>
              </w:rPr>
              <w:t xml:space="preserve"> </w:t>
            </w:r>
            <w:r w:rsidR="00431950" w:rsidRPr="001147C3">
              <w:rPr>
                <w:sz w:val="24"/>
                <w:szCs w:val="24"/>
              </w:rPr>
              <w:t>г. Краснодара.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Диспансеризация  воспитанников, пребывающих в стационарных учреждениях, подведо</w:t>
            </w:r>
            <w:r w:rsidRPr="001147C3">
              <w:rPr>
                <w:sz w:val="24"/>
                <w:szCs w:val="24"/>
              </w:rPr>
              <w:t>м</w:t>
            </w:r>
            <w:r w:rsidRPr="001147C3">
              <w:rPr>
                <w:sz w:val="24"/>
                <w:szCs w:val="24"/>
              </w:rPr>
              <w:t>ственных министерству, проводится в соответствии с планом</w:t>
            </w:r>
            <w:r w:rsidR="004610E9" w:rsidRPr="001147C3">
              <w:rPr>
                <w:sz w:val="24"/>
                <w:szCs w:val="24"/>
              </w:rPr>
              <w:t>-</w:t>
            </w:r>
            <w:r w:rsidRPr="001147C3">
              <w:rPr>
                <w:sz w:val="24"/>
                <w:szCs w:val="24"/>
              </w:rPr>
              <w:t>графиком, с февраля по июнь 2016 года.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lastRenderedPageBreak/>
              <w:t>На всех несовершеннолетних оформлены информированные добровольные согласия на проведение диспансеризации и обработку персональных данных.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Подлежит диспансеризации 839 несовершеннолетних, всего по состоянию на 1 апреля 2016 года  осмотрено 199 детей.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Санаторно-курортное лечение является одним из этапов педиатрической помощи, пред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сматривает преемственность в лечении при различных хронических заболеваниях. Отбор воспитанников учреждений на санаторно-курортное лечение осуществляется врачебными комиссиями детских поликлиник, в которых наблюдаются дети, учитываются данные ди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>пансеризации, показания и противопоказания.</w:t>
            </w:r>
          </w:p>
          <w:p w:rsidR="00431950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рамках «Государственной программы «Дети Кубани» запланировано оздоровление</w:t>
            </w:r>
            <w:r w:rsidR="004610E9" w:rsidRPr="001147C3">
              <w:rPr>
                <w:sz w:val="24"/>
                <w:szCs w:val="24"/>
              </w:rPr>
              <w:t xml:space="preserve"> </w:t>
            </w:r>
            <w:r w:rsidRPr="001147C3">
              <w:rPr>
                <w:sz w:val="24"/>
                <w:szCs w:val="24"/>
              </w:rPr>
              <w:t>96 детей в возрасте с 7 до 17 лет включительно из 5 подведомственных учреждений.</w:t>
            </w:r>
          </w:p>
          <w:p w:rsidR="004610E9" w:rsidRPr="001147C3" w:rsidRDefault="00431950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С учетом показаний лечение будет проведено по основным профилям заболеваний.  </w:t>
            </w:r>
          </w:p>
          <w:p w:rsidR="00431950" w:rsidRPr="001147C3" w:rsidRDefault="004610E9" w:rsidP="00EC1984">
            <w:pPr>
              <w:jc w:val="both"/>
              <w:rPr>
                <w:rFonts w:eastAsia="Calibri"/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Д</w:t>
            </w:r>
            <w:r w:rsidR="00431950" w:rsidRPr="001147C3">
              <w:rPr>
                <w:sz w:val="24"/>
                <w:szCs w:val="24"/>
                <w:lang w:eastAsia="ar-SA"/>
              </w:rPr>
              <w:t>о конца 2016 года в  учреждениях для детей-сирот и детей, оставшихся без попечения р</w:t>
            </w:r>
            <w:r w:rsidR="00431950" w:rsidRPr="001147C3">
              <w:rPr>
                <w:sz w:val="24"/>
                <w:szCs w:val="24"/>
                <w:lang w:eastAsia="ar-SA"/>
              </w:rPr>
              <w:t>о</w:t>
            </w:r>
            <w:r w:rsidR="00431950" w:rsidRPr="001147C3">
              <w:rPr>
                <w:sz w:val="24"/>
                <w:szCs w:val="24"/>
                <w:lang w:eastAsia="ar-SA"/>
              </w:rPr>
              <w:t>дителей</w:t>
            </w:r>
            <w:r w:rsidRPr="001147C3">
              <w:rPr>
                <w:sz w:val="24"/>
                <w:szCs w:val="24"/>
                <w:lang w:eastAsia="ar-SA"/>
              </w:rPr>
              <w:t>,</w:t>
            </w:r>
            <w:r w:rsidR="00431950" w:rsidRPr="001147C3">
              <w:rPr>
                <w:sz w:val="24"/>
                <w:szCs w:val="24"/>
                <w:lang w:eastAsia="ar-SA"/>
              </w:rPr>
              <w:t xml:space="preserve"> в полном объеме реализ</w:t>
            </w:r>
            <w:r w:rsidRPr="001147C3">
              <w:rPr>
                <w:sz w:val="24"/>
                <w:szCs w:val="24"/>
                <w:lang w:eastAsia="ar-SA"/>
              </w:rPr>
              <w:t>уются</w:t>
            </w:r>
            <w:r w:rsidR="00431950" w:rsidRPr="001147C3">
              <w:rPr>
                <w:sz w:val="24"/>
                <w:szCs w:val="24"/>
                <w:lang w:eastAsia="ar-SA"/>
              </w:rPr>
              <w:t xml:space="preserve"> права детей-сирот и детей, оставшихся без попеч</w:t>
            </w:r>
            <w:r w:rsidR="00431950" w:rsidRPr="001147C3">
              <w:rPr>
                <w:sz w:val="24"/>
                <w:szCs w:val="24"/>
                <w:lang w:eastAsia="ar-SA"/>
              </w:rPr>
              <w:t>е</w:t>
            </w:r>
            <w:r w:rsidR="00431950" w:rsidRPr="001147C3">
              <w:rPr>
                <w:sz w:val="24"/>
                <w:szCs w:val="24"/>
                <w:lang w:eastAsia="ar-SA"/>
              </w:rPr>
              <w:t>ния родителей, на получение санаторно-курортного лечения (по показаниям) и отдых и оздоровление.</w:t>
            </w:r>
          </w:p>
          <w:p w:rsidR="00431950" w:rsidRPr="001147C3" w:rsidRDefault="00933873" w:rsidP="00EC1984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В рамках </w:t>
            </w:r>
            <w:r w:rsidR="00431950" w:rsidRPr="001147C3">
              <w:rPr>
                <w:sz w:val="24"/>
                <w:szCs w:val="24"/>
                <w:lang w:val="en-US"/>
              </w:rPr>
              <w:t>II</w:t>
            </w:r>
            <w:r w:rsidR="00431950" w:rsidRPr="001147C3">
              <w:rPr>
                <w:sz w:val="24"/>
                <w:szCs w:val="24"/>
              </w:rPr>
              <w:t xml:space="preserve"> Всероссийской конференции «Здоровьесберегающие технологии в совреме</w:t>
            </w:r>
            <w:r w:rsidR="00431950" w:rsidRPr="001147C3">
              <w:rPr>
                <w:sz w:val="24"/>
                <w:szCs w:val="24"/>
              </w:rPr>
              <w:t>н</w:t>
            </w:r>
            <w:r w:rsidR="00431950" w:rsidRPr="001147C3">
              <w:rPr>
                <w:sz w:val="24"/>
                <w:szCs w:val="24"/>
              </w:rPr>
              <w:t>ном образовании» подведены итоги федерального конкурса «Школа здоровья – 2016» ср</w:t>
            </w:r>
            <w:r w:rsidR="00431950" w:rsidRPr="001147C3">
              <w:rPr>
                <w:sz w:val="24"/>
                <w:szCs w:val="24"/>
              </w:rPr>
              <w:t>е</w:t>
            </w:r>
            <w:r w:rsidR="00431950" w:rsidRPr="001147C3">
              <w:rPr>
                <w:sz w:val="24"/>
                <w:szCs w:val="24"/>
              </w:rPr>
              <w:t>ди образовательных организаций, содействующих сохранению и укреплению здоровья обучающихся (воспитанников), организованном центром непрерывного образования и и</w:t>
            </w:r>
            <w:r w:rsidR="00431950" w:rsidRPr="001147C3">
              <w:rPr>
                <w:sz w:val="24"/>
                <w:szCs w:val="24"/>
              </w:rPr>
              <w:t>н</w:t>
            </w:r>
            <w:r w:rsidR="00431950" w:rsidRPr="001147C3">
              <w:rPr>
                <w:sz w:val="24"/>
                <w:szCs w:val="24"/>
              </w:rPr>
              <w:t>новаций города  Санкт-Петербурга</w:t>
            </w:r>
            <w:r w:rsidRPr="001147C3">
              <w:rPr>
                <w:sz w:val="24"/>
                <w:szCs w:val="24"/>
              </w:rPr>
              <w:t>. Коллектив ГАОУ КК «Новолеушковская школа-интернат с профессиональным обучением» в 2016 году стал лауреатом данного конкурса</w:t>
            </w:r>
            <w:r w:rsidR="00431950" w:rsidRPr="001147C3">
              <w:rPr>
                <w:sz w:val="24"/>
                <w:szCs w:val="24"/>
              </w:rPr>
              <w:t xml:space="preserve">. Учреждению вручен Диплом победителя в номинации </w:t>
            </w:r>
            <w:r w:rsidRPr="001147C3">
              <w:rPr>
                <w:sz w:val="24"/>
                <w:szCs w:val="24"/>
              </w:rPr>
              <w:t>«В</w:t>
            </w:r>
            <w:r w:rsidR="00431950" w:rsidRPr="001147C3">
              <w:rPr>
                <w:sz w:val="24"/>
                <w:szCs w:val="24"/>
              </w:rPr>
              <w:t>ыдающемуся руководителю</w:t>
            </w:r>
            <w:r w:rsidRPr="001147C3">
              <w:rPr>
                <w:sz w:val="24"/>
                <w:szCs w:val="24"/>
              </w:rPr>
              <w:t>»</w:t>
            </w:r>
            <w:r w:rsidR="00431950" w:rsidRPr="001147C3">
              <w:rPr>
                <w:sz w:val="24"/>
                <w:szCs w:val="24"/>
              </w:rPr>
              <w:t xml:space="preserve"> за отличные успехи в области здоровьесбережения и диплом </w:t>
            </w:r>
            <w:r w:rsidR="00431950" w:rsidRPr="001147C3">
              <w:rPr>
                <w:sz w:val="24"/>
                <w:szCs w:val="24"/>
                <w:lang w:val="en-US"/>
              </w:rPr>
              <w:t>I</w:t>
            </w:r>
            <w:r w:rsidR="00431950" w:rsidRPr="001147C3">
              <w:rPr>
                <w:sz w:val="24"/>
                <w:szCs w:val="24"/>
              </w:rPr>
              <w:t xml:space="preserve"> степени в номинации </w:t>
            </w:r>
            <w:r w:rsidRPr="001147C3">
              <w:rPr>
                <w:sz w:val="24"/>
                <w:szCs w:val="24"/>
              </w:rPr>
              <w:t>«</w:t>
            </w:r>
            <w:r w:rsidR="00431950" w:rsidRPr="001147C3">
              <w:rPr>
                <w:sz w:val="24"/>
                <w:szCs w:val="24"/>
              </w:rPr>
              <w:t>Сцен</w:t>
            </w:r>
            <w:r w:rsidR="00431950" w:rsidRPr="001147C3">
              <w:rPr>
                <w:sz w:val="24"/>
                <w:szCs w:val="24"/>
              </w:rPr>
              <w:t>а</w:t>
            </w:r>
            <w:r w:rsidR="00431950" w:rsidRPr="001147C3">
              <w:rPr>
                <w:sz w:val="24"/>
                <w:szCs w:val="24"/>
              </w:rPr>
              <w:t>рий мероприятия по пропаганде здорового образа жизни среди обучающихся «Спортивный праздник «Моя спортивная семья 2015».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По состоянию на 1 апреля 2016 года организованным отдыхом, оздоровлением и занят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стью охвачено 9895 детей Краснодарского края, что составляет 1,5% от числа детей школьного возраста, в том числе: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327 детей (АППГ – 128) в загородных стационарных лагерях;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3 454 ребенка (АППГ – 1 989) в санаторно-оздоровительных лагерях круглогодичного т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па;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lastRenderedPageBreak/>
              <w:t>60 детей (АППГ – 63) в детских лагерях палаточного типа;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75 детей направлено в Международный детский центр «Артек» в рамках квоты, опред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ленной Краснодарскому краю Министерством образования и науки Российской Федер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ции;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5 979 ребенка (АППГ – 1 814) побывали в многодневных походах.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Особое внимание уделено обеспечению отдыхом и оздоровлением детей социально нез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щищенных категорий.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По состоянию на 31 марта 2016 года оздоровлено 2 333 ребенка, нуждающихся в особой заботе и внимании государства, в том числе детей, находящихся в трудной жизненной с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туации: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 xml:space="preserve">154 ребенка-инвалида, из которых 96 детей оздоровлены в организациях отдыха детей и их оздоровления и 58 приняли участие в многодневных походах; 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1 656 детей из малообеспеченных семей;</w:t>
            </w:r>
          </w:p>
          <w:p w:rsidR="00764F4D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523 ребенка из числа детей-сирот и детей, оставшихся без попечения родителей, в том чи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>ле в организациях отдыха детей и их оздоровления 207 человек и в многодневных походах 316 человек.</w:t>
            </w:r>
          </w:p>
          <w:p w:rsidR="00270798" w:rsidRPr="001147C3" w:rsidRDefault="00764F4D" w:rsidP="00764F4D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Организованными формами отдыха, оздоровления и занятости охвачено 298 детей, сост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ящих на учете в органах системы профилактики, в том числе 60 детей оздоровлено в сан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торно-оздоровительных организациях, 238 детей побывали в многодневных походах и эк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>курсиях.</w:t>
            </w:r>
          </w:p>
        </w:tc>
      </w:tr>
      <w:tr w:rsidR="001147C3" w:rsidRPr="001147C3" w:rsidTr="00351F17">
        <w:trPr>
          <w:trHeight w:val="444"/>
        </w:trPr>
        <w:tc>
          <w:tcPr>
            <w:tcW w:w="14601" w:type="dxa"/>
            <w:gridSpan w:val="4"/>
            <w:vAlign w:val="center"/>
          </w:tcPr>
          <w:p w:rsidR="00931016" w:rsidRPr="001147C3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1147C3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1147C3" w:rsidRDefault="00931016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1147C3" w:rsidRPr="001147C3" w:rsidTr="00685950">
        <w:tc>
          <w:tcPr>
            <w:tcW w:w="578" w:type="dxa"/>
          </w:tcPr>
          <w:p w:rsidR="00806480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806480" w:rsidRPr="001147C3" w:rsidRDefault="00931016" w:rsidP="00D962BE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ние повышения суммарного коэффициента рождаем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сти до 1,753</w:t>
            </w:r>
          </w:p>
        </w:tc>
        <w:tc>
          <w:tcPr>
            <w:tcW w:w="1276" w:type="dxa"/>
          </w:tcPr>
          <w:p w:rsidR="00806480" w:rsidRPr="001147C3" w:rsidRDefault="00931016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DD0260" w:rsidRPr="001147C3" w:rsidRDefault="00DD0260" w:rsidP="00DD0260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дополнительных мерах социальной поддержки отдельных категорий граждан» при рожд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нии после 31 декабря 2012 года третьего или последующих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образовательных организациях и государственных образовательных организациях по о</w:t>
            </w:r>
            <w:r w:rsidRPr="001147C3">
              <w:rPr>
                <w:sz w:val="24"/>
                <w:szCs w:val="24"/>
              </w:rPr>
              <w:t>ч</w:t>
            </w:r>
            <w:r w:rsidRPr="001147C3">
              <w:rPr>
                <w:sz w:val="24"/>
                <w:szCs w:val="24"/>
              </w:rPr>
              <w:t>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го или последующего ребенка до достижения им возраста трех лет (далее – ежемесячная денежная выплата).</w:t>
            </w:r>
          </w:p>
          <w:p w:rsidR="00DD0260" w:rsidRPr="001147C3" w:rsidRDefault="00DD0260" w:rsidP="00DD0260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lastRenderedPageBreak/>
              <w:t>Ежемесячная денежная выплата предоставляется семьям,  имеющим среднедушевой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2015  год – 31393 руб. 60 коп.).</w:t>
            </w:r>
          </w:p>
          <w:p w:rsidR="00DD0260" w:rsidRPr="001147C3" w:rsidRDefault="00DD0260" w:rsidP="00DD0260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Размер ежемесячной денежной выплаты в 2016 году составляет 9655 руб.</w:t>
            </w:r>
          </w:p>
          <w:p w:rsidR="00806480" w:rsidRPr="001147C3" w:rsidRDefault="00DD0260" w:rsidP="00DD0260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Ежемесячная денежная выплата за период с 1 января 2016 года по 31 марта 2016 года назначена 27209 семьям.</w:t>
            </w:r>
          </w:p>
        </w:tc>
      </w:tr>
      <w:tr w:rsidR="001147C3" w:rsidRPr="001147C3" w:rsidTr="00685950">
        <w:tc>
          <w:tcPr>
            <w:tcW w:w="578" w:type="dxa"/>
          </w:tcPr>
          <w:p w:rsidR="001E000B" w:rsidRPr="001147C3" w:rsidRDefault="0030731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08" w:type="dxa"/>
          </w:tcPr>
          <w:p w:rsidR="001E000B" w:rsidRPr="001147C3" w:rsidRDefault="001E000B" w:rsidP="00D962BE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Реализация мероприятий, направленных на создание условий для совмещения женщинами обязанностей по воспитанию детей с тр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довой занятостью, а также на организацию професс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онального обучения (пер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обучения) женщин, нах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дящихся в отпуске по уходу за ребенком до достижения им возраста трех лет</w:t>
            </w:r>
          </w:p>
        </w:tc>
        <w:tc>
          <w:tcPr>
            <w:tcW w:w="1276" w:type="dxa"/>
          </w:tcPr>
          <w:p w:rsidR="001E000B" w:rsidRPr="001147C3" w:rsidRDefault="001E000B" w:rsidP="00D962BE">
            <w:pPr>
              <w:jc w:val="center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На пост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янной о</w:t>
            </w:r>
            <w:r w:rsidRPr="001147C3">
              <w:rPr>
                <w:sz w:val="24"/>
                <w:szCs w:val="24"/>
              </w:rPr>
              <w:t>с</w:t>
            </w:r>
            <w:r w:rsidRPr="001147C3">
              <w:rPr>
                <w:sz w:val="24"/>
                <w:szCs w:val="24"/>
              </w:rPr>
              <w:t>нове</w:t>
            </w:r>
          </w:p>
        </w:tc>
        <w:tc>
          <w:tcPr>
            <w:tcW w:w="9639" w:type="dxa"/>
          </w:tcPr>
          <w:p w:rsidR="00D00CAA" w:rsidRPr="001147C3" w:rsidRDefault="00D00CAA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Проводится информационно-разъяснительная работа о реализации мер по созданию усл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вий для совмещения женщинами обязанностей по воспитанию детей с трудовой деятел</w:t>
            </w:r>
            <w:r w:rsidRPr="001147C3">
              <w:rPr>
                <w:sz w:val="24"/>
                <w:szCs w:val="24"/>
              </w:rPr>
              <w:t>ь</w:t>
            </w:r>
            <w:r w:rsidRPr="001147C3">
              <w:rPr>
                <w:sz w:val="24"/>
                <w:szCs w:val="24"/>
              </w:rPr>
              <w:t>ностью, информирование женщин, находящихся в отпуске по уходу за детьми в возрасте до 3 лет, в том числе через работодателей, зарегистрированных в органах труда и занят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сти населения, размещение информации на стендах информационных залов 44 центров з</w:t>
            </w:r>
            <w:r w:rsidRPr="001147C3">
              <w:rPr>
                <w:sz w:val="24"/>
                <w:szCs w:val="24"/>
              </w:rPr>
              <w:t>а</w:t>
            </w:r>
            <w:r w:rsidRPr="001147C3">
              <w:rPr>
                <w:sz w:val="24"/>
                <w:szCs w:val="24"/>
              </w:rPr>
              <w:t>нятости населения, на информационных стендах администраций городских и сельских п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селений края, в помещениях социальных партнеров; в сети Интернет, в том числе на и</w:t>
            </w:r>
            <w:r w:rsidRPr="001147C3">
              <w:rPr>
                <w:sz w:val="24"/>
                <w:szCs w:val="24"/>
              </w:rPr>
              <w:t>н</w:t>
            </w:r>
            <w:r w:rsidRPr="001147C3">
              <w:rPr>
                <w:sz w:val="24"/>
                <w:szCs w:val="24"/>
              </w:rPr>
              <w:t>терактивном портале службы занятости населения Краснодарского края.</w:t>
            </w:r>
          </w:p>
          <w:p w:rsidR="00D00CAA" w:rsidRPr="001147C3" w:rsidRDefault="00D00CAA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рамках государственной программы Краснодарского края «Содействие занятости нас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ления», утверждённой постановлением главы администрации (губернатора) Краснодарск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го края от 16 ноября 2015 года № 1036, предусмотрено профессиональное обучение (пер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>обучение) не менее 300 женщин, находящихся в отпуске по уходу за ребенком до дост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жения им возраста трех лет, с объемом финансирования – 2,9 млн. рублей.</w:t>
            </w:r>
          </w:p>
          <w:p w:rsidR="00D00CAA" w:rsidRPr="001147C3" w:rsidRDefault="00D00CAA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На 1 апреля 2016 года на профессиональное обучение (переобучение) направлены 43 же</w:t>
            </w:r>
            <w:r w:rsidRPr="001147C3">
              <w:rPr>
                <w:sz w:val="24"/>
                <w:szCs w:val="24"/>
              </w:rPr>
              <w:t>н</w:t>
            </w:r>
            <w:r w:rsidRPr="001147C3">
              <w:rPr>
                <w:sz w:val="24"/>
                <w:szCs w:val="24"/>
              </w:rPr>
              <w:t xml:space="preserve">щины, находящиеся в отпуске по уходу за ребенком до достижения им возраста трех лет. </w:t>
            </w:r>
          </w:p>
          <w:p w:rsidR="00D00CAA" w:rsidRPr="001147C3" w:rsidRDefault="00D00CAA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целях расширения возможностей для женщин пройти профобучение в Краснодарском крае запущен социальный проект – «Мы учим без отрыва от детей», который заключается в открытии комнат временного пребывания детей при образовательных организациях.</w:t>
            </w:r>
          </w:p>
          <w:p w:rsidR="00D00CAA" w:rsidRPr="001147C3" w:rsidRDefault="00D00CAA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 рамках проекта открыты 11 комнат временного пребывания детей в городах Краснодар (образовательно-досуговый центр «Южная столица»), Новороссийск (Новороссийский с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>циально-педагогический колледж), Анапа (ЧОУ СПО «Анапский индустриальный техн</w:t>
            </w:r>
            <w:r w:rsidRPr="001147C3">
              <w:rPr>
                <w:sz w:val="24"/>
                <w:szCs w:val="24"/>
              </w:rPr>
              <w:t>и</w:t>
            </w:r>
            <w:r w:rsidRPr="001147C3">
              <w:rPr>
                <w:sz w:val="24"/>
                <w:szCs w:val="24"/>
              </w:rPr>
              <w:t>кум»), Армавир (НЧОУ Центр профессиональной ориентации «Профессионал»), Тихоре</w:t>
            </w:r>
            <w:r w:rsidRPr="001147C3">
              <w:rPr>
                <w:sz w:val="24"/>
                <w:szCs w:val="24"/>
              </w:rPr>
              <w:t>ц</w:t>
            </w:r>
            <w:r w:rsidRPr="001147C3">
              <w:rPr>
                <w:sz w:val="24"/>
                <w:szCs w:val="24"/>
              </w:rPr>
              <w:t>кий район (учреждение дополнительного профобразования «Тихорецкая техническая шк</w:t>
            </w:r>
            <w:r w:rsidRPr="001147C3">
              <w:rPr>
                <w:sz w:val="24"/>
                <w:szCs w:val="24"/>
              </w:rPr>
              <w:t>о</w:t>
            </w:r>
            <w:r w:rsidRPr="001147C3">
              <w:rPr>
                <w:sz w:val="24"/>
                <w:szCs w:val="24"/>
              </w:rPr>
              <w:t xml:space="preserve">ла»), Мостовский район (филиал ЧОУ СПО «Анапский индустриальный техникум»), Ейский район (ЧОУ ДПО «Учебный центр «Советник»), Кавказский район (Центр досуга </w:t>
            </w:r>
            <w:r w:rsidRPr="001147C3">
              <w:rPr>
                <w:sz w:val="24"/>
                <w:szCs w:val="24"/>
              </w:rPr>
              <w:lastRenderedPageBreak/>
              <w:t>детей «Радуга Детства» на базе ООО «Спектр» г. Кропоткин), Гулькевичский район (НП</w:t>
            </w:r>
            <w:r w:rsidR="009977E2" w:rsidRPr="001147C3">
              <w:rPr>
                <w:sz w:val="24"/>
                <w:szCs w:val="24"/>
              </w:rPr>
              <w:t> </w:t>
            </w:r>
            <w:r w:rsidRPr="001147C3">
              <w:rPr>
                <w:sz w:val="24"/>
                <w:szCs w:val="24"/>
              </w:rPr>
              <w:t>«Гулькевичский учебный центр «Профессионал»), Абинский район (филиал ЧОУ</w:t>
            </w:r>
            <w:r w:rsidR="009977E2" w:rsidRPr="001147C3">
              <w:rPr>
                <w:sz w:val="24"/>
                <w:szCs w:val="24"/>
              </w:rPr>
              <w:t> </w:t>
            </w:r>
            <w:r w:rsidRPr="001147C3">
              <w:rPr>
                <w:sz w:val="24"/>
                <w:szCs w:val="24"/>
              </w:rPr>
              <w:t>СПО «Анапский индустриальный техникум»), Туапсинский район (ООО «Туапсек</w:t>
            </w:r>
            <w:r w:rsidRPr="001147C3">
              <w:rPr>
                <w:sz w:val="24"/>
                <w:szCs w:val="24"/>
              </w:rPr>
              <w:t>у</w:t>
            </w:r>
            <w:r w:rsidRPr="001147C3">
              <w:rPr>
                <w:sz w:val="24"/>
                <w:szCs w:val="24"/>
              </w:rPr>
              <w:t>рорт»). Комната временного пребывания детей, действующая при образовательном учр</w:t>
            </w:r>
            <w:r w:rsidRPr="001147C3">
              <w:rPr>
                <w:sz w:val="24"/>
                <w:szCs w:val="24"/>
              </w:rPr>
              <w:t>е</w:t>
            </w:r>
            <w:r w:rsidRPr="001147C3">
              <w:rPr>
                <w:sz w:val="24"/>
                <w:szCs w:val="24"/>
              </w:rPr>
              <w:t xml:space="preserve">ждении, работает 4 часа. </w:t>
            </w:r>
          </w:p>
          <w:p w:rsidR="001E000B" w:rsidRPr="001147C3" w:rsidRDefault="009977E2" w:rsidP="00D00CAA">
            <w:pPr>
              <w:jc w:val="both"/>
              <w:rPr>
                <w:sz w:val="24"/>
                <w:szCs w:val="24"/>
              </w:rPr>
            </w:pPr>
            <w:r w:rsidRPr="001147C3">
              <w:rPr>
                <w:sz w:val="24"/>
                <w:szCs w:val="24"/>
              </w:rPr>
              <w:t>В</w:t>
            </w:r>
            <w:r w:rsidR="00D00CAA" w:rsidRPr="001147C3">
              <w:rPr>
                <w:sz w:val="24"/>
                <w:szCs w:val="24"/>
              </w:rPr>
              <w:t xml:space="preserve"> рамках государственной программы «Содействие занятости населения» на професси</w:t>
            </w:r>
            <w:r w:rsidR="00D00CAA" w:rsidRPr="001147C3">
              <w:rPr>
                <w:sz w:val="24"/>
                <w:szCs w:val="24"/>
              </w:rPr>
              <w:t>о</w:t>
            </w:r>
            <w:r w:rsidR="00D00CAA" w:rsidRPr="001147C3">
              <w:rPr>
                <w:sz w:val="24"/>
                <w:szCs w:val="24"/>
              </w:rPr>
              <w:t>нальное обучение по востребованным профессиям в 2016 году направлены 53 безработные женщины, имеющие детей до 3 лет.</w:t>
            </w:r>
          </w:p>
        </w:tc>
      </w:tr>
    </w:tbl>
    <w:p w:rsidR="00CC33B3" w:rsidRPr="001147C3" w:rsidRDefault="00CC33B3" w:rsidP="00D962BE">
      <w:pPr>
        <w:ind w:left="-142" w:right="-206"/>
        <w:rPr>
          <w:sz w:val="28"/>
          <w:szCs w:val="28"/>
        </w:rPr>
      </w:pPr>
    </w:p>
    <w:p w:rsidR="00CC33B3" w:rsidRPr="001147C3" w:rsidRDefault="00CC33B3" w:rsidP="00D962BE">
      <w:pPr>
        <w:ind w:left="-142" w:right="-206"/>
        <w:rPr>
          <w:sz w:val="28"/>
          <w:szCs w:val="28"/>
        </w:rPr>
      </w:pPr>
    </w:p>
    <w:sectPr w:rsidR="00CC33B3" w:rsidRPr="001147C3" w:rsidSect="00A846F2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64" w:rsidRDefault="00337364">
      <w:r>
        <w:separator/>
      </w:r>
    </w:p>
  </w:endnote>
  <w:endnote w:type="continuationSeparator" w:id="0">
    <w:p w:rsidR="00337364" w:rsidRDefault="0033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64" w:rsidRDefault="00337364">
      <w:r>
        <w:separator/>
      </w:r>
    </w:p>
  </w:footnote>
  <w:footnote w:type="continuationSeparator" w:id="0">
    <w:p w:rsidR="00337364" w:rsidRDefault="0033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44ED40" wp14:editId="074EAEA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37832" w:rsidRPr="0043783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37832" w:rsidRPr="0043783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428AC"/>
    <w:rsid w:val="000430D6"/>
    <w:rsid w:val="00043BB2"/>
    <w:rsid w:val="000558D8"/>
    <w:rsid w:val="000627A1"/>
    <w:rsid w:val="000845FD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2118A"/>
    <w:rsid w:val="00123B62"/>
    <w:rsid w:val="00127B5E"/>
    <w:rsid w:val="00133DB8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3F56"/>
    <w:rsid w:val="001848A9"/>
    <w:rsid w:val="00185471"/>
    <w:rsid w:val="00194609"/>
    <w:rsid w:val="00197477"/>
    <w:rsid w:val="00197DE8"/>
    <w:rsid w:val="001A0F57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45E9B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77EE"/>
    <w:rsid w:val="003003E3"/>
    <w:rsid w:val="00304A9A"/>
    <w:rsid w:val="003069CA"/>
    <w:rsid w:val="00307311"/>
    <w:rsid w:val="00312B5E"/>
    <w:rsid w:val="003165C2"/>
    <w:rsid w:val="00316C69"/>
    <w:rsid w:val="00323380"/>
    <w:rsid w:val="00325679"/>
    <w:rsid w:val="003263E3"/>
    <w:rsid w:val="003320B3"/>
    <w:rsid w:val="00333F56"/>
    <w:rsid w:val="00337364"/>
    <w:rsid w:val="0034003D"/>
    <w:rsid w:val="00342A0D"/>
    <w:rsid w:val="00343C6D"/>
    <w:rsid w:val="00343CF5"/>
    <w:rsid w:val="00347C4F"/>
    <w:rsid w:val="00350FA1"/>
    <w:rsid w:val="00351F17"/>
    <w:rsid w:val="00360400"/>
    <w:rsid w:val="00376A7E"/>
    <w:rsid w:val="00380AAE"/>
    <w:rsid w:val="00380B49"/>
    <w:rsid w:val="00390651"/>
    <w:rsid w:val="00392652"/>
    <w:rsid w:val="003A261F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37832"/>
    <w:rsid w:val="00440333"/>
    <w:rsid w:val="0044093A"/>
    <w:rsid w:val="0044643D"/>
    <w:rsid w:val="004503C1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3738"/>
    <w:rsid w:val="004B5DEB"/>
    <w:rsid w:val="004C14B4"/>
    <w:rsid w:val="004C25A1"/>
    <w:rsid w:val="004D0911"/>
    <w:rsid w:val="004D31C1"/>
    <w:rsid w:val="004D5F56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53A09"/>
    <w:rsid w:val="00565378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C5ADD"/>
    <w:rsid w:val="00AC6950"/>
    <w:rsid w:val="00AD0582"/>
    <w:rsid w:val="00AD2AAD"/>
    <w:rsid w:val="00AE322E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5EC"/>
    <w:rsid w:val="00B4394B"/>
    <w:rsid w:val="00B46353"/>
    <w:rsid w:val="00B5054C"/>
    <w:rsid w:val="00B53B2F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50405"/>
    <w:rsid w:val="00C51E7A"/>
    <w:rsid w:val="00C53809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49A9"/>
    <w:rsid w:val="00CB5FB5"/>
    <w:rsid w:val="00CB7BA4"/>
    <w:rsid w:val="00CC10AC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71EA"/>
    <w:rsid w:val="00DB371C"/>
    <w:rsid w:val="00DB7BF6"/>
    <w:rsid w:val="00DC0987"/>
    <w:rsid w:val="00DC1BAA"/>
    <w:rsid w:val="00DC7C43"/>
    <w:rsid w:val="00DD0260"/>
    <w:rsid w:val="00DD0D7C"/>
    <w:rsid w:val="00DD18A5"/>
    <w:rsid w:val="00DD44E2"/>
    <w:rsid w:val="00DE47F3"/>
    <w:rsid w:val="00DE7A28"/>
    <w:rsid w:val="00DF3663"/>
    <w:rsid w:val="00E0198E"/>
    <w:rsid w:val="00E078D9"/>
    <w:rsid w:val="00E15E41"/>
    <w:rsid w:val="00E257E8"/>
    <w:rsid w:val="00E27033"/>
    <w:rsid w:val="00E278CA"/>
    <w:rsid w:val="00E30888"/>
    <w:rsid w:val="00E321C8"/>
    <w:rsid w:val="00E32A4B"/>
    <w:rsid w:val="00E433DB"/>
    <w:rsid w:val="00E47DC2"/>
    <w:rsid w:val="00E517A8"/>
    <w:rsid w:val="00E5183A"/>
    <w:rsid w:val="00E70E42"/>
    <w:rsid w:val="00E761E7"/>
    <w:rsid w:val="00E80823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04D2-827C-4B2F-9E48-01F7F3B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4</cp:revision>
  <cp:lastPrinted>2016-04-22T13:42:00Z</cp:lastPrinted>
  <dcterms:created xsi:type="dcterms:W3CDTF">2016-04-26T15:23:00Z</dcterms:created>
  <dcterms:modified xsi:type="dcterms:W3CDTF">2016-04-26T15:24:00Z</dcterms:modified>
</cp:coreProperties>
</file>